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98DC" w14:textId="77777777" w:rsidR="00B172D1" w:rsidRDefault="00B172D1" w:rsidP="006E1B73">
      <w:pPr>
        <w:pStyle w:val="NoSpacing"/>
        <w:jc w:val="center"/>
        <w:rPr>
          <w:b/>
        </w:rPr>
      </w:pPr>
    </w:p>
    <w:p w14:paraId="65EDC2B1" w14:textId="77777777" w:rsidR="0019517C" w:rsidRDefault="005E0719" w:rsidP="006E1B73">
      <w:pPr>
        <w:pStyle w:val="NoSpacing"/>
        <w:jc w:val="center"/>
        <w:rPr>
          <w:b/>
        </w:rPr>
      </w:pPr>
      <w:r w:rsidRPr="006E1B73">
        <w:rPr>
          <w:b/>
        </w:rPr>
        <w:t>Event Secretary:</w:t>
      </w:r>
      <w:r w:rsidR="00D9108B">
        <w:rPr>
          <w:b/>
        </w:rPr>
        <w:t xml:space="preserve"> </w:t>
      </w:r>
    </w:p>
    <w:p w14:paraId="58B691F1" w14:textId="0438E904" w:rsidR="006E1B73" w:rsidRPr="00D9108B" w:rsidRDefault="005C1707" w:rsidP="006E1B73">
      <w:pPr>
        <w:pStyle w:val="NoSpacing"/>
        <w:jc w:val="center"/>
        <w:rPr>
          <w:bCs/>
        </w:rPr>
      </w:pPr>
      <w:r>
        <w:rPr>
          <w:bCs/>
        </w:rPr>
        <w:t>Gavin Hughes</w:t>
      </w:r>
    </w:p>
    <w:p w14:paraId="1970D2BF" w14:textId="64968AE2" w:rsidR="006E1B73" w:rsidRDefault="008736B9" w:rsidP="006E1B73">
      <w:pPr>
        <w:pStyle w:val="NoSpacing"/>
        <w:jc w:val="center"/>
      </w:pPr>
      <w:r>
        <w:t>M</w:t>
      </w:r>
      <w:r w:rsidR="006E1B73">
        <w:t>obile</w:t>
      </w:r>
      <w:r>
        <w:t xml:space="preserve">: </w:t>
      </w:r>
      <w:r w:rsidR="005C1707">
        <w:t>07971408298</w:t>
      </w:r>
    </w:p>
    <w:p w14:paraId="1851A6AE" w14:textId="4F7D0933" w:rsidR="005E0719" w:rsidRDefault="005E0719" w:rsidP="006E1B73">
      <w:pPr>
        <w:pStyle w:val="NoSpacing"/>
        <w:jc w:val="center"/>
      </w:pPr>
      <w:r>
        <w:t xml:space="preserve"> </w:t>
      </w:r>
      <w:hyperlink r:id="rId8" w:history="1">
        <w:r w:rsidR="005C1707" w:rsidRPr="0058084A">
          <w:rPr>
            <w:rStyle w:val="Hyperlink"/>
            <w:sz w:val="24"/>
            <w:szCs w:val="24"/>
          </w:rPr>
          <w:t>dghughes@btinternet.com</w:t>
        </w:r>
      </w:hyperlink>
    </w:p>
    <w:p w14:paraId="0830ACF9" w14:textId="77777777" w:rsidR="00D9108B" w:rsidRDefault="00D9108B" w:rsidP="00D9108B">
      <w:pPr>
        <w:spacing w:after="0"/>
        <w:jc w:val="center"/>
        <w:rPr>
          <w:b/>
          <w:sz w:val="24"/>
          <w:szCs w:val="24"/>
        </w:rPr>
      </w:pPr>
    </w:p>
    <w:p w14:paraId="247B4009" w14:textId="21D51FC6" w:rsidR="00D9108B" w:rsidRDefault="005E0719" w:rsidP="00D9108B">
      <w:pPr>
        <w:spacing w:after="0"/>
        <w:jc w:val="center"/>
        <w:rPr>
          <w:sz w:val="24"/>
          <w:szCs w:val="24"/>
        </w:rPr>
      </w:pPr>
      <w:proofErr w:type="gramStart"/>
      <w:r w:rsidRPr="006E1B73">
        <w:rPr>
          <w:b/>
          <w:sz w:val="24"/>
          <w:szCs w:val="24"/>
        </w:rPr>
        <w:t>Time keepers</w:t>
      </w:r>
      <w:proofErr w:type="gramEnd"/>
      <w:r>
        <w:rPr>
          <w:sz w:val="24"/>
          <w:szCs w:val="24"/>
        </w:rPr>
        <w:t xml:space="preserve">: </w:t>
      </w:r>
    </w:p>
    <w:p w14:paraId="76A30F11" w14:textId="475BF66C" w:rsidR="005E0719" w:rsidRDefault="00B31E87" w:rsidP="00D9108B">
      <w:pPr>
        <w:spacing w:after="0"/>
        <w:jc w:val="center"/>
        <w:rPr>
          <w:sz w:val="24"/>
          <w:szCs w:val="24"/>
        </w:rPr>
      </w:pPr>
      <w:r>
        <w:rPr>
          <w:sz w:val="24"/>
          <w:szCs w:val="24"/>
        </w:rPr>
        <w:t xml:space="preserve">Paul </w:t>
      </w:r>
      <w:proofErr w:type="spellStart"/>
      <w:r>
        <w:rPr>
          <w:sz w:val="24"/>
          <w:szCs w:val="24"/>
        </w:rPr>
        <w:t>Tunnell</w:t>
      </w:r>
      <w:proofErr w:type="spellEnd"/>
      <w:r>
        <w:rPr>
          <w:sz w:val="24"/>
          <w:szCs w:val="24"/>
        </w:rPr>
        <w:t xml:space="preserve"> &amp; </w:t>
      </w:r>
      <w:r w:rsidR="00E12770">
        <w:rPr>
          <w:sz w:val="24"/>
          <w:szCs w:val="24"/>
        </w:rPr>
        <w:t xml:space="preserve">Jeremy </w:t>
      </w:r>
      <w:proofErr w:type="spellStart"/>
      <w:r w:rsidR="00E12770">
        <w:rPr>
          <w:sz w:val="24"/>
          <w:szCs w:val="24"/>
        </w:rPr>
        <w:t>Maccelari</w:t>
      </w:r>
      <w:proofErr w:type="spellEnd"/>
    </w:p>
    <w:p w14:paraId="551BAD53" w14:textId="77777777" w:rsidR="00D9108B" w:rsidRPr="005E0719" w:rsidRDefault="00D9108B" w:rsidP="00D9108B">
      <w:pPr>
        <w:spacing w:after="0"/>
        <w:jc w:val="center"/>
        <w:rPr>
          <w:sz w:val="24"/>
          <w:szCs w:val="24"/>
        </w:rPr>
      </w:pPr>
    </w:p>
    <w:p w14:paraId="1FF67567" w14:textId="3FBA9C26" w:rsidR="00A03C05" w:rsidRDefault="008B17A2" w:rsidP="00A03C05">
      <w:pPr>
        <w:pBdr>
          <w:top w:val="single" w:sz="4" w:space="1" w:color="auto"/>
          <w:left w:val="single" w:sz="4" w:space="4" w:color="auto"/>
          <w:bottom w:val="single" w:sz="4" w:space="1" w:color="auto"/>
          <w:right w:val="single" w:sz="4" w:space="4" w:color="auto"/>
        </w:pBdr>
        <w:jc w:val="center"/>
        <w:rPr>
          <w:sz w:val="36"/>
          <w:szCs w:val="36"/>
        </w:rPr>
      </w:pPr>
      <w:bookmarkStart w:id="0" w:name="_Hlk479790582"/>
      <w:bookmarkEnd w:id="0"/>
      <w:r>
        <w:rPr>
          <w:noProof/>
          <w:sz w:val="36"/>
          <w:szCs w:val="36"/>
        </w:rPr>
        <w:drawing>
          <wp:inline distT="0" distB="0" distL="0" distR="0" wp14:anchorId="5402FF41" wp14:editId="2DBF6BCB">
            <wp:extent cx="1805940" cy="134995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675" cy="1358727"/>
                    </a:xfrm>
                    <a:prstGeom prst="rect">
                      <a:avLst/>
                    </a:prstGeom>
                    <a:noFill/>
                    <a:ln>
                      <a:noFill/>
                    </a:ln>
                  </pic:spPr>
                </pic:pic>
              </a:graphicData>
            </a:graphic>
          </wp:inline>
        </w:drawing>
      </w:r>
    </w:p>
    <w:p w14:paraId="614FD53F" w14:textId="663634FE" w:rsidR="00A03C05" w:rsidRDefault="00AD3FE0" w:rsidP="008F7891">
      <w:pPr>
        <w:pBdr>
          <w:top w:val="single" w:sz="4" w:space="1" w:color="auto"/>
          <w:left w:val="single" w:sz="4" w:space="4" w:color="auto"/>
          <w:bottom w:val="single" w:sz="4" w:space="1" w:color="auto"/>
          <w:right w:val="single" w:sz="4" w:space="4" w:color="auto"/>
        </w:pBdr>
        <w:jc w:val="center"/>
        <w:rPr>
          <w:sz w:val="36"/>
          <w:szCs w:val="36"/>
        </w:rPr>
      </w:pPr>
      <w:r w:rsidRPr="00AD3FE0">
        <w:rPr>
          <w:sz w:val="36"/>
          <w:szCs w:val="36"/>
        </w:rPr>
        <w:t>Kingston Phoenix Road Club</w:t>
      </w:r>
    </w:p>
    <w:p w14:paraId="16584E33" w14:textId="77777777" w:rsidR="004C0762" w:rsidRDefault="004C0762" w:rsidP="00AD3FE0">
      <w:pPr>
        <w:jc w:val="center"/>
        <w:rPr>
          <w:rFonts w:cstheme="minorHAnsi"/>
          <w:b/>
          <w:sz w:val="32"/>
          <w:szCs w:val="32"/>
        </w:rPr>
      </w:pPr>
      <w:r>
        <w:rPr>
          <w:rFonts w:cstheme="minorHAnsi"/>
          <w:b/>
          <w:sz w:val="32"/>
          <w:szCs w:val="32"/>
        </w:rPr>
        <w:t>Pete Mitchell Bicycle Memorial 10</w:t>
      </w:r>
    </w:p>
    <w:p w14:paraId="5FF4A81A" w14:textId="43247643" w:rsidR="00AD3FE0" w:rsidRDefault="00AD3FE0" w:rsidP="00AD3FE0">
      <w:pPr>
        <w:jc w:val="center"/>
      </w:pPr>
      <w:r>
        <w:t xml:space="preserve">Open </w:t>
      </w:r>
      <w:proofErr w:type="gramStart"/>
      <w:r>
        <w:t>10 mile</w:t>
      </w:r>
      <w:proofErr w:type="gramEnd"/>
      <w:r>
        <w:t xml:space="preserve"> scratch time trial</w:t>
      </w:r>
    </w:p>
    <w:p w14:paraId="47E1CB68" w14:textId="4A2E3B34" w:rsidR="00AD3FE0" w:rsidRDefault="00AD3FE0" w:rsidP="00AD3FE0">
      <w:pPr>
        <w:jc w:val="center"/>
      </w:pPr>
      <w:r>
        <w:t xml:space="preserve">Promoted for and on behalf of Cycling Time Trials under their Rules and </w:t>
      </w:r>
      <w:r w:rsidR="00D30CCE">
        <w:t>re</w:t>
      </w:r>
      <w:r>
        <w:t>gulations</w:t>
      </w:r>
    </w:p>
    <w:p w14:paraId="3C452614" w14:textId="6BE5FD8A" w:rsidR="00470DC4" w:rsidRDefault="006E1B73" w:rsidP="00AD3FE0">
      <w:pPr>
        <w:jc w:val="center"/>
        <w:rPr>
          <w:b/>
          <w:sz w:val="24"/>
        </w:rPr>
      </w:pPr>
      <w:r w:rsidRPr="00B77C83">
        <w:rPr>
          <w:b/>
          <w:sz w:val="24"/>
        </w:rPr>
        <w:t xml:space="preserve">Saturday </w:t>
      </w:r>
      <w:r w:rsidR="005C1707">
        <w:rPr>
          <w:b/>
          <w:sz w:val="24"/>
        </w:rPr>
        <w:t>1</w:t>
      </w:r>
      <w:r w:rsidR="00877101">
        <w:rPr>
          <w:b/>
          <w:sz w:val="24"/>
        </w:rPr>
        <w:t xml:space="preserve"> October 202</w:t>
      </w:r>
      <w:r w:rsidR="005C1707">
        <w:rPr>
          <w:b/>
          <w:sz w:val="24"/>
        </w:rPr>
        <w:t>2:</w:t>
      </w:r>
      <w:r w:rsidR="004F63E7">
        <w:rPr>
          <w:b/>
          <w:sz w:val="24"/>
        </w:rPr>
        <w:t xml:space="preserve"> </w:t>
      </w:r>
      <w:r w:rsidR="00AD3FE0" w:rsidRPr="00B77C83">
        <w:rPr>
          <w:b/>
          <w:sz w:val="24"/>
        </w:rPr>
        <w:t>Course G10/42</w:t>
      </w:r>
    </w:p>
    <w:p w14:paraId="1F60D089" w14:textId="602CD163" w:rsidR="00470DC4" w:rsidRDefault="00470DC4" w:rsidP="00AD3FE0">
      <w:pPr>
        <w:jc w:val="center"/>
        <w:rPr>
          <w:b/>
          <w:sz w:val="24"/>
        </w:rPr>
      </w:pPr>
    </w:p>
    <w:p w14:paraId="1C9C8F60" w14:textId="63782907" w:rsidR="00470DC4" w:rsidRDefault="00470DC4" w:rsidP="00470DC4">
      <w:pPr>
        <w:jc w:val="center"/>
        <w:rPr>
          <w:rFonts w:ascii="Calibri" w:hAnsi="Calibri" w:cs="Calibri"/>
        </w:rPr>
      </w:pPr>
      <w:r>
        <w:rPr>
          <w:rFonts w:ascii="Calibri" w:hAnsi="Calibri" w:cs="Calibri"/>
          <w:b/>
          <w:bCs/>
        </w:rPr>
        <w:t>F</w:t>
      </w:r>
      <w:r>
        <w:rPr>
          <w:rFonts w:ascii="Calibri" w:hAnsi="Calibri" w:cs="Calibri"/>
          <w:b/>
          <w:bCs/>
        </w:rPr>
        <w:t>ollow us Twitter to receive event information</w:t>
      </w:r>
      <w:r>
        <w:rPr>
          <w:rFonts w:ascii="Calibri" w:hAnsi="Calibri" w:cs="Calibri"/>
          <w:b/>
          <w:bCs/>
        </w:rPr>
        <w:t>, updates and</w:t>
      </w:r>
      <w:r>
        <w:rPr>
          <w:rFonts w:ascii="Calibri" w:hAnsi="Calibri" w:cs="Calibri"/>
          <w:b/>
          <w:bCs/>
        </w:rPr>
        <w:t xml:space="preserve"> provisional results</w:t>
      </w:r>
      <w:r>
        <w:rPr>
          <w:rFonts w:ascii="Calibri" w:hAnsi="Calibri" w:cs="Calibri"/>
          <w:b/>
          <w:bCs/>
        </w:rPr>
        <w:t>.</w:t>
      </w:r>
    </w:p>
    <w:tbl>
      <w:tblPr>
        <w:tblStyle w:val="TableGrid"/>
        <w:tblW w:w="0" w:type="auto"/>
        <w:tblInd w:w="3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3397"/>
      </w:tblGrid>
      <w:tr w:rsidR="00470DC4" w:rsidRPr="000F472E" w14:paraId="20A9D0A9" w14:textId="77777777" w:rsidTr="006011FB">
        <w:tc>
          <w:tcPr>
            <w:tcW w:w="714" w:type="dxa"/>
          </w:tcPr>
          <w:p w14:paraId="3D351C75" w14:textId="77777777" w:rsidR="00470DC4" w:rsidRPr="000F472E" w:rsidRDefault="00470DC4" w:rsidP="006011FB">
            <w:pPr>
              <w:jc w:val="center"/>
              <w:rPr>
                <w:rFonts w:ascii="Calibri" w:hAnsi="Calibri" w:cs="Calibri"/>
                <w:b/>
                <w:bCs/>
              </w:rPr>
            </w:pPr>
            <w:r w:rsidRPr="000F472E">
              <w:rPr>
                <w:rFonts w:ascii="Calibri" w:hAnsi="Calibri" w:cs="Calibri"/>
                <w:b/>
                <w:noProof/>
              </w:rPr>
              <w:drawing>
                <wp:inline distT="0" distB="0" distL="0" distR="0" wp14:anchorId="18C9F72F" wp14:editId="171C7C8D">
                  <wp:extent cx="297180" cy="297180"/>
                  <wp:effectExtent l="0" t="0" r="7620" b="7620"/>
                  <wp:docPr id="1" name="Picture 1" desc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c>
          <w:tcPr>
            <w:tcW w:w="3397" w:type="dxa"/>
            <w:vAlign w:val="center"/>
          </w:tcPr>
          <w:p w14:paraId="39919264" w14:textId="77777777" w:rsidR="00470DC4" w:rsidRPr="000F472E" w:rsidRDefault="00470DC4" w:rsidP="006011FB">
            <w:pPr>
              <w:rPr>
                <w:rFonts w:ascii="Calibri" w:hAnsi="Calibri" w:cs="Calibri"/>
                <w:b/>
                <w:bCs/>
              </w:rPr>
            </w:pPr>
            <w:r w:rsidRPr="000F472E">
              <w:rPr>
                <w:rFonts w:ascii="Calibri" w:hAnsi="Calibri" w:cs="Calibri"/>
                <w:b/>
                <w:bCs/>
              </w:rPr>
              <w:t>@</w:t>
            </w:r>
            <w:proofErr w:type="gramStart"/>
            <w:r w:rsidRPr="000F472E">
              <w:rPr>
                <w:rFonts w:ascii="Calibri" w:hAnsi="Calibri" w:cs="Calibri"/>
                <w:b/>
                <w:bCs/>
              </w:rPr>
              <w:t>kingston</w:t>
            </w:r>
            <w:proofErr w:type="gramEnd"/>
            <w:r w:rsidRPr="000F472E">
              <w:rPr>
                <w:rFonts w:ascii="Calibri" w:hAnsi="Calibri" w:cs="Calibri"/>
                <w:b/>
                <w:bCs/>
              </w:rPr>
              <w:t>_rc</w:t>
            </w:r>
          </w:p>
        </w:tc>
      </w:tr>
      <w:tr w:rsidR="00470DC4" w:rsidRPr="000F472E" w14:paraId="4D5C5A78" w14:textId="77777777" w:rsidTr="006011FB">
        <w:tc>
          <w:tcPr>
            <w:tcW w:w="714" w:type="dxa"/>
          </w:tcPr>
          <w:p w14:paraId="2DB69E11" w14:textId="77777777" w:rsidR="00470DC4" w:rsidRPr="000F472E" w:rsidRDefault="00470DC4" w:rsidP="006011FB">
            <w:pPr>
              <w:jc w:val="center"/>
              <w:rPr>
                <w:rFonts w:ascii="Calibri" w:hAnsi="Calibri" w:cs="Calibri"/>
                <w:b/>
                <w:noProof/>
              </w:rPr>
            </w:pPr>
            <w:r>
              <w:rPr>
                <w:rFonts w:ascii="Calibri" w:hAnsi="Calibri" w:cs="Calibri"/>
                <w:b/>
                <w:bCs/>
                <w:noProof/>
              </w:rPr>
              <w:drawing>
                <wp:inline distT="0" distB="0" distL="0" distR="0" wp14:anchorId="3AE2E2B9" wp14:editId="2D20A135">
                  <wp:extent cx="704850" cy="362585"/>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945" cy="366749"/>
                          </a:xfrm>
                          <a:prstGeom prst="rect">
                            <a:avLst/>
                          </a:prstGeom>
                          <a:noFill/>
                          <a:ln>
                            <a:noFill/>
                          </a:ln>
                        </pic:spPr>
                      </pic:pic>
                    </a:graphicData>
                  </a:graphic>
                </wp:inline>
              </w:drawing>
            </w:r>
          </w:p>
        </w:tc>
        <w:tc>
          <w:tcPr>
            <w:tcW w:w="3397" w:type="dxa"/>
            <w:vAlign w:val="center"/>
          </w:tcPr>
          <w:p w14:paraId="51DAAE44" w14:textId="2E8DF486" w:rsidR="00470DC4" w:rsidRPr="000F472E" w:rsidRDefault="00470DC4" w:rsidP="006011FB">
            <w:pPr>
              <w:rPr>
                <w:rFonts w:ascii="Calibri" w:hAnsi="Calibri" w:cs="Calibri"/>
                <w:b/>
                <w:bCs/>
              </w:rPr>
            </w:pPr>
            <w:r w:rsidRPr="000F472E">
              <w:rPr>
                <w:rFonts w:ascii="Calibri" w:hAnsi="Calibri" w:cs="Calibri"/>
                <w:b/>
                <w:bCs/>
              </w:rPr>
              <w:t>@</w:t>
            </w:r>
            <w:proofErr w:type="gramStart"/>
            <w:r w:rsidRPr="000F472E">
              <w:rPr>
                <w:rFonts w:ascii="Calibri" w:hAnsi="Calibri" w:cs="Calibri"/>
                <w:b/>
                <w:bCs/>
              </w:rPr>
              <w:t>kingston</w:t>
            </w:r>
            <w:proofErr w:type="gramEnd"/>
            <w:r w:rsidRPr="000F472E">
              <w:rPr>
                <w:rFonts w:ascii="Calibri" w:hAnsi="Calibri" w:cs="Calibri"/>
                <w:b/>
                <w:bCs/>
              </w:rPr>
              <w:t>_</w:t>
            </w:r>
            <w:r w:rsidR="00E50A3E">
              <w:rPr>
                <w:rFonts w:ascii="Calibri" w:hAnsi="Calibri" w:cs="Calibri"/>
                <w:b/>
                <w:bCs/>
              </w:rPr>
              <w:t>phoenix_rc</w:t>
            </w:r>
          </w:p>
        </w:tc>
      </w:tr>
    </w:tbl>
    <w:p w14:paraId="3269B6F4" w14:textId="6B07796B" w:rsidR="00470DC4" w:rsidRDefault="00470DC4" w:rsidP="00AD3FE0">
      <w:pPr>
        <w:jc w:val="center"/>
        <w:rPr>
          <w:b/>
          <w:sz w:val="24"/>
        </w:rPr>
      </w:pPr>
      <w:r>
        <w:rPr>
          <w:rFonts w:cstheme="minorHAnsi"/>
          <w:b/>
          <w:sz w:val="32"/>
          <w:szCs w:val="32"/>
        </w:rPr>
        <w:br w:type="page"/>
      </w:r>
    </w:p>
    <w:tbl>
      <w:tblPr>
        <w:tblStyle w:val="TableGrid"/>
        <w:tblW w:w="0" w:type="auto"/>
        <w:tblLook w:val="04A0" w:firstRow="1" w:lastRow="0" w:firstColumn="1" w:lastColumn="0" w:noHBand="0" w:noVBand="1"/>
      </w:tblPr>
      <w:tblGrid>
        <w:gridCol w:w="9016"/>
      </w:tblGrid>
      <w:tr w:rsidR="00AD3FE0" w14:paraId="61D61409" w14:textId="77777777" w:rsidTr="004279D7">
        <w:tc>
          <w:tcPr>
            <w:tcW w:w="9016" w:type="dxa"/>
          </w:tcPr>
          <w:p w14:paraId="43D2AA2D" w14:textId="631390A2" w:rsidR="00BC49F9" w:rsidRPr="00BC49F9" w:rsidRDefault="00470DC4" w:rsidP="00AD3FE0">
            <w:pPr>
              <w:jc w:val="both"/>
              <w:rPr>
                <w:b/>
              </w:rPr>
            </w:pPr>
            <w:r>
              <w:rPr>
                <w:b/>
                <w:sz w:val="24"/>
              </w:rPr>
              <w:lastRenderedPageBreak/>
              <w:br w:type="page"/>
            </w:r>
            <w:r w:rsidR="00BC49F9" w:rsidRPr="00BC49F9">
              <w:rPr>
                <w:b/>
              </w:rPr>
              <w:t>Course Details</w:t>
            </w:r>
          </w:p>
          <w:p w14:paraId="03D7632F" w14:textId="5FEC254A" w:rsidR="00AD3FE0" w:rsidRDefault="003158E6" w:rsidP="00AD3FE0">
            <w:pPr>
              <w:jc w:val="both"/>
            </w:pPr>
            <w:r>
              <w:t>START</w:t>
            </w:r>
            <w:r w:rsidR="00AD3FE0">
              <w:t xml:space="preserve"> </w:t>
            </w:r>
            <w:r w:rsidR="0094523D">
              <w:t>i</w:t>
            </w:r>
            <w:r w:rsidR="00AD3FE0">
              <w:t>n Spook Hill, North Holmwood, at the Post Office telephone inspection cover, 30 yards from the junction with the A24 (TQ167469)</w:t>
            </w:r>
            <w:r w:rsidR="00B31E87">
              <w:t xml:space="preserve">. </w:t>
            </w:r>
            <w:r w:rsidR="00B31E87" w:rsidRPr="00B31E87">
              <w:rPr>
                <w:color w:val="FF0000"/>
              </w:rPr>
              <w:t>Please note that there will be no pusher off this year.</w:t>
            </w:r>
          </w:p>
          <w:p w14:paraId="7904A596" w14:textId="77777777" w:rsidR="00AD3FE0" w:rsidRDefault="00AD3FE0" w:rsidP="00AD3FE0">
            <w:pPr>
              <w:jc w:val="both"/>
            </w:pPr>
            <w:r>
              <w:t>Proceed to A24</w:t>
            </w:r>
            <w:r w:rsidR="003158E6">
              <w:t xml:space="preserve"> where LEFT into acceleration lane to join A24</w:t>
            </w:r>
          </w:p>
          <w:p w14:paraId="42516F71" w14:textId="77777777" w:rsidR="003158E6" w:rsidRDefault="003158E6" w:rsidP="00AD3FE0">
            <w:pPr>
              <w:jc w:val="both"/>
            </w:pPr>
            <w:r>
              <w:t xml:space="preserve">Proceed SOUTH to </w:t>
            </w:r>
            <w:proofErr w:type="spellStart"/>
            <w:r>
              <w:t>Beare</w:t>
            </w:r>
            <w:proofErr w:type="spellEnd"/>
            <w:r>
              <w:t xml:space="preserve"> Green roundabout. Take second exit and follow Capel </w:t>
            </w:r>
            <w:proofErr w:type="gramStart"/>
            <w:r>
              <w:t>by pass</w:t>
            </w:r>
            <w:proofErr w:type="gramEnd"/>
            <w:r>
              <w:t xml:space="preserve"> to Clarke’s Green roundabout (4.91 miles) (TQ171397)</w:t>
            </w:r>
          </w:p>
          <w:p w14:paraId="3A58E914" w14:textId="77777777" w:rsidR="003158E6" w:rsidRDefault="003158E6" w:rsidP="003158E6">
            <w:pPr>
              <w:jc w:val="both"/>
            </w:pPr>
            <w:r>
              <w:t xml:space="preserve">Encircle roundabout (taking great care) and retrace on A24 via </w:t>
            </w:r>
            <w:proofErr w:type="spellStart"/>
            <w:r>
              <w:t>Beare</w:t>
            </w:r>
            <w:proofErr w:type="spellEnd"/>
            <w:r>
              <w:t xml:space="preserve"> Green roundabout (taking great care) to FINISH at drain at NORTH end of penultimate crash barrier 634 yards before North Holmwood roundabout (TQ166472)</w:t>
            </w:r>
          </w:p>
          <w:p w14:paraId="14EDE2B5" w14:textId="77777777" w:rsidR="004F63E7" w:rsidRDefault="004F63E7" w:rsidP="003158E6">
            <w:pPr>
              <w:jc w:val="both"/>
            </w:pPr>
          </w:p>
          <w:p w14:paraId="1079AB59" w14:textId="77777777" w:rsidR="004F63E7" w:rsidRDefault="004F63E7" w:rsidP="003158E6">
            <w:pPr>
              <w:jc w:val="both"/>
            </w:pPr>
          </w:p>
          <w:p w14:paraId="29361971" w14:textId="326EB170" w:rsidR="004F63E7" w:rsidRDefault="004F63E7" w:rsidP="003158E6">
            <w:pPr>
              <w:jc w:val="both"/>
            </w:pPr>
            <w:r>
              <w:t>A risk assessment will be carried out prior to the event – please follow us on Twitter for updated information: @kingston_rc</w:t>
            </w:r>
          </w:p>
          <w:p w14:paraId="492D16F2" w14:textId="26AF2BF5" w:rsidR="004F63E7" w:rsidRDefault="004F63E7" w:rsidP="003158E6">
            <w:pPr>
              <w:jc w:val="both"/>
            </w:pPr>
          </w:p>
        </w:tc>
      </w:tr>
    </w:tbl>
    <w:p w14:paraId="6CCB7A1A" w14:textId="77777777" w:rsidR="008736B9" w:rsidRDefault="008736B9" w:rsidP="00BC49F9">
      <w:pPr>
        <w:pStyle w:val="NoSpacing"/>
        <w:rPr>
          <w:b/>
        </w:rPr>
      </w:pPr>
    </w:p>
    <w:p w14:paraId="477C0A0A" w14:textId="1A53CA6A" w:rsidR="00877101" w:rsidRPr="00A414A4" w:rsidRDefault="00877101" w:rsidP="00CC0CD3">
      <w:pPr>
        <w:pStyle w:val="NoSpacing"/>
        <w:pBdr>
          <w:top w:val="single" w:sz="4" w:space="1" w:color="auto"/>
          <w:left w:val="single" w:sz="4" w:space="4" w:color="auto"/>
          <w:bottom w:val="single" w:sz="4" w:space="1" w:color="auto"/>
          <w:right w:val="single" w:sz="4" w:space="0" w:color="auto"/>
        </w:pBdr>
        <w:rPr>
          <w:b/>
          <w:color w:val="FF0000"/>
        </w:rPr>
      </w:pPr>
      <w:bookmarkStart w:id="1" w:name="_Hlk51757005"/>
      <w:r>
        <w:rPr>
          <w:b/>
        </w:rPr>
        <w:t xml:space="preserve">Covid-19 </w:t>
      </w:r>
      <w:r w:rsidR="00A414A4">
        <w:rPr>
          <w:b/>
        </w:rPr>
        <w:t xml:space="preserve">arrangements </w:t>
      </w:r>
    </w:p>
    <w:p w14:paraId="25A143DB" w14:textId="77777777" w:rsidR="00D4380E" w:rsidRDefault="00D4380E" w:rsidP="00CC0CD3">
      <w:pPr>
        <w:pStyle w:val="NoSpacing"/>
        <w:numPr>
          <w:ilvl w:val="0"/>
          <w:numId w:val="3"/>
        </w:numPr>
        <w:pBdr>
          <w:top w:val="single" w:sz="4" w:space="1" w:color="auto"/>
          <w:left w:val="single" w:sz="4" w:space="4" w:color="auto"/>
          <w:bottom w:val="single" w:sz="4" w:space="1" w:color="auto"/>
          <w:right w:val="single" w:sz="4" w:space="0" w:color="auto"/>
        </w:pBdr>
        <w:ind w:left="360"/>
        <w:contextualSpacing/>
      </w:pPr>
      <w:r>
        <w:t>Competitors are encouraged to take a Lateral Flow Test prior to attending the event</w:t>
      </w:r>
    </w:p>
    <w:p w14:paraId="1402A667" w14:textId="2FE71D81" w:rsidR="00A414A4" w:rsidRDefault="006510F9" w:rsidP="00CC0CD3">
      <w:pPr>
        <w:pStyle w:val="NoSpacing"/>
        <w:numPr>
          <w:ilvl w:val="0"/>
          <w:numId w:val="3"/>
        </w:numPr>
        <w:pBdr>
          <w:top w:val="single" w:sz="4" w:space="1" w:color="auto"/>
          <w:left w:val="single" w:sz="4" w:space="4" w:color="auto"/>
          <w:bottom w:val="single" w:sz="4" w:space="1" w:color="auto"/>
          <w:right w:val="single" w:sz="4" w:space="0" w:color="auto"/>
        </w:pBdr>
        <w:ind w:left="360"/>
        <w:contextualSpacing/>
      </w:pPr>
      <w:r>
        <w:t>Competitors should not attend if they feel ill in ANY way or if family members have any symptoms</w:t>
      </w:r>
      <w:r w:rsidR="00D4380E">
        <w:t xml:space="preserve"> or if the Lateral Flow Test taken prior to the event shows a positive result</w:t>
      </w:r>
      <w:r>
        <w:t xml:space="preserve"> </w:t>
      </w:r>
    </w:p>
    <w:p w14:paraId="1A32BF1C" w14:textId="50639ADB" w:rsidR="00A414A4" w:rsidRDefault="006510F9" w:rsidP="00CC0CD3">
      <w:pPr>
        <w:pStyle w:val="NoSpacing"/>
        <w:numPr>
          <w:ilvl w:val="0"/>
          <w:numId w:val="3"/>
        </w:numPr>
        <w:pBdr>
          <w:top w:val="single" w:sz="4" w:space="1" w:color="auto"/>
          <w:left w:val="single" w:sz="4" w:space="4" w:color="auto"/>
          <w:bottom w:val="single" w:sz="4" w:space="1" w:color="auto"/>
          <w:right w:val="single" w:sz="4" w:space="0" w:color="auto"/>
        </w:pBdr>
        <w:ind w:left="360"/>
        <w:contextualSpacing/>
      </w:pPr>
      <w:r>
        <w:t xml:space="preserve">An elevated resting heart rate or exceptionally quick to react heart rate during warm up can suggest an underlying asymptomatic illness of ANY kind. You should NOT start the event (DNS) and leave immediately. Do not go to the start line if you feel this is the case and notify the organiser </w:t>
      </w:r>
      <w:r w:rsidR="00D4380E">
        <w:t xml:space="preserve">by text </w:t>
      </w:r>
      <w:r>
        <w:t xml:space="preserve">of your intention not to start as a result of an adverse warmup </w:t>
      </w:r>
    </w:p>
    <w:p w14:paraId="5C3918D9" w14:textId="5B86F214" w:rsidR="00F51594" w:rsidRDefault="00F51594" w:rsidP="00CC0CD3">
      <w:pPr>
        <w:pStyle w:val="NoSpacing"/>
        <w:numPr>
          <w:ilvl w:val="0"/>
          <w:numId w:val="3"/>
        </w:numPr>
        <w:pBdr>
          <w:top w:val="single" w:sz="4" w:space="1" w:color="auto"/>
          <w:left w:val="single" w:sz="4" w:space="4" w:color="auto"/>
          <w:bottom w:val="single" w:sz="4" w:space="1" w:color="auto"/>
          <w:right w:val="single" w:sz="4" w:space="0" w:color="auto"/>
        </w:pBdr>
        <w:ind w:left="360"/>
        <w:contextualSpacing/>
      </w:pPr>
      <w:bookmarkStart w:id="2" w:name="_Hlk51757221"/>
      <w:r>
        <w:t>There will be no ‘pusher off’. All riders must start with one foot on the ground</w:t>
      </w:r>
    </w:p>
    <w:p w14:paraId="6301E113" w14:textId="44B2CC48" w:rsidR="00D4380E" w:rsidRDefault="00D4380E" w:rsidP="00CC0CD3">
      <w:pPr>
        <w:pStyle w:val="NoSpacing"/>
        <w:numPr>
          <w:ilvl w:val="0"/>
          <w:numId w:val="3"/>
        </w:numPr>
        <w:pBdr>
          <w:top w:val="single" w:sz="4" w:space="1" w:color="auto"/>
          <w:left w:val="single" w:sz="4" w:space="4" w:color="auto"/>
          <w:bottom w:val="single" w:sz="4" w:space="1" w:color="auto"/>
          <w:right w:val="single" w:sz="4" w:space="0" w:color="auto"/>
        </w:pBdr>
        <w:ind w:left="360"/>
        <w:contextualSpacing/>
      </w:pPr>
      <w:r>
        <w:t>Any spectators or helpers are also encouraged take a Lateral Flow Test prior to attending the event</w:t>
      </w:r>
    </w:p>
    <w:bookmarkEnd w:id="1"/>
    <w:bookmarkEnd w:id="2"/>
    <w:p w14:paraId="3D33E165" w14:textId="62ACDA2F" w:rsidR="00877101" w:rsidRDefault="00877101" w:rsidP="00BC49F9">
      <w:pPr>
        <w:pStyle w:val="NoSpacing"/>
        <w:rPr>
          <w:b/>
        </w:rPr>
      </w:pPr>
    </w:p>
    <w:p w14:paraId="1C3B2D18" w14:textId="253DBA67" w:rsidR="000F472E" w:rsidRDefault="000F472E" w:rsidP="00BC49F9">
      <w:pPr>
        <w:pStyle w:val="NoSpacing"/>
        <w:rPr>
          <w:b/>
        </w:rPr>
      </w:pPr>
    </w:p>
    <w:p w14:paraId="4C24BC3C" w14:textId="38563A31" w:rsidR="000F472E" w:rsidRDefault="000F472E">
      <w:pPr>
        <w:rPr>
          <w:b/>
        </w:rPr>
      </w:pPr>
      <w:r>
        <w:rPr>
          <w:b/>
        </w:rPr>
        <w:br w:type="page"/>
      </w:r>
    </w:p>
    <w:p w14:paraId="551839AB" w14:textId="72228DC1" w:rsidR="003158E6" w:rsidRPr="000F472E" w:rsidRDefault="000F472E" w:rsidP="00D4380E">
      <w:pPr>
        <w:pStyle w:val="NoSpacing"/>
        <w:pBdr>
          <w:top w:val="single" w:sz="4" w:space="1" w:color="auto"/>
          <w:left w:val="single" w:sz="4" w:space="4" w:color="auto"/>
          <w:bottom w:val="single" w:sz="4" w:space="1" w:color="auto"/>
          <w:right w:val="single" w:sz="4" w:space="4" w:color="auto"/>
        </w:pBdr>
        <w:rPr>
          <w:b/>
          <w:u w:val="single"/>
        </w:rPr>
      </w:pPr>
      <w:r w:rsidRPr="000F472E">
        <w:rPr>
          <w:b/>
          <w:u w:val="single"/>
        </w:rPr>
        <w:lastRenderedPageBreak/>
        <w:t xml:space="preserve">SAFETY </w:t>
      </w:r>
    </w:p>
    <w:p w14:paraId="7D71C039"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Riders are requested not to warm up on the course after the event has started. Details of any</w:t>
      </w:r>
    </w:p>
    <w:p w14:paraId="5CD3C6DF" w14:textId="502DFE16"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additional hazards will be displayed at the HQ; all riders must read these details when they sign on.</w:t>
      </w:r>
      <w:r>
        <w:rPr>
          <w:b/>
        </w:rPr>
        <w:t xml:space="preserve">  </w:t>
      </w:r>
      <w:r w:rsidRPr="000F472E">
        <w:rPr>
          <w:b/>
        </w:rPr>
        <w:t>Riders must exercise extra care when joining the A24 just after the start and at all roundabouts.</w:t>
      </w:r>
    </w:p>
    <w:p w14:paraId="507430C0" w14:textId="034D51C0"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CTT regulations require the use of a helmet that meets internationally accepted safety standards for</w:t>
      </w:r>
      <w:r>
        <w:rPr>
          <w:b/>
        </w:rPr>
        <w:t xml:space="preserve"> </w:t>
      </w:r>
      <w:r w:rsidRPr="000F472E">
        <w:rPr>
          <w:b/>
        </w:rPr>
        <w:t>all competitors</w:t>
      </w:r>
    </w:p>
    <w:p w14:paraId="03CAD1FB" w14:textId="78C820C4"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CTT Regulations now require that no competitor shall be permitted to start unless they have affixed</w:t>
      </w:r>
      <w:r>
        <w:rPr>
          <w:b/>
        </w:rPr>
        <w:t xml:space="preserve"> </w:t>
      </w:r>
      <w:r w:rsidRPr="000F472E">
        <w:rPr>
          <w:b/>
        </w:rPr>
        <w:t>to the rear of their machine a working rear red light, and to the front of their machine a working front</w:t>
      </w:r>
      <w:r>
        <w:rPr>
          <w:b/>
        </w:rPr>
        <w:t xml:space="preserve"> </w:t>
      </w:r>
      <w:r w:rsidRPr="000F472E">
        <w:rPr>
          <w:b/>
        </w:rPr>
        <w:t>white light, either flashing or constant, that are illuminated and positioned to be clearly visible to</w:t>
      </w:r>
      <w:r>
        <w:rPr>
          <w:b/>
        </w:rPr>
        <w:t xml:space="preserve"> </w:t>
      </w:r>
      <w:r w:rsidRPr="000F472E">
        <w:rPr>
          <w:b/>
        </w:rPr>
        <w:t>other road users</w:t>
      </w:r>
    </w:p>
    <w:p w14:paraId="16E639B1"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London South DC Regulation: No vehicles, except those of the timekeepers and event officials,</w:t>
      </w:r>
    </w:p>
    <w:p w14:paraId="193FF4EC"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shall be parked in the vicinity of the start and finish areas.</w:t>
      </w:r>
    </w:p>
    <w:p w14:paraId="45A3CF5C"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London South DC strongly recommend that riders do not wear black or dark clothing during any</w:t>
      </w:r>
    </w:p>
    <w:p w14:paraId="3856DD28"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event held on the public road. Official Observers will be stationed around the course</w:t>
      </w:r>
    </w:p>
    <w:p w14:paraId="776F0E1C"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No time may be recorded if number is not correctly positioned</w:t>
      </w:r>
    </w:p>
    <w:p w14:paraId="7A7D4C6B"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 Riders must not use ANY audio equipment except prescribed hearing aids.</w:t>
      </w:r>
    </w:p>
    <w:p w14:paraId="33E995A4" w14:textId="77777777" w:rsidR="000F472E" w:rsidRPr="000F472E"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Please note that all riders are required to sign out on the signing in/out sheet before leaving the HQ.</w:t>
      </w:r>
    </w:p>
    <w:p w14:paraId="1F5FC6EF" w14:textId="231E764B" w:rsidR="000F472E" w:rsidRPr="00BC49F9" w:rsidRDefault="000F472E" w:rsidP="000F472E">
      <w:pPr>
        <w:pStyle w:val="NoSpacing"/>
        <w:pBdr>
          <w:top w:val="single" w:sz="4" w:space="1" w:color="auto"/>
          <w:left w:val="single" w:sz="4" w:space="4" w:color="auto"/>
          <w:bottom w:val="single" w:sz="4" w:space="1" w:color="auto"/>
          <w:right w:val="single" w:sz="4" w:space="4" w:color="auto"/>
        </w:pBdr>
        <w:rPr>
          <w:b/>
        </w:rPr>
      </w:pPr>
      <w:r w:rsidRPr="000F472E">
        <w:rPr>
          <w:b/>
        </w:rPr>
        <w:t>Failure to do will result in a rider being recorded as DNF.</w:t>
      </w:r>
    </w:p>
    <w:p w14:paraId="4F069498" w14:textId="32A5137C" w:rsidR="00F60E06" w:rsidRPr="00D4380E" w:rsidRDefault="00F60E06" w:rsidP="00D4380E">
      <w:pPr>
        <w:pStyle w:val="NoSpacing"/>
        <w:jc w:val="center"/>
        <w:rPr>
          <w:b/>
          <w:color w:val="FF0000"/>
        </w:rPr>
      </w:pPr>
    </w:p>
    <w:p w14:paraId="5A2B6C32" w14:textId="77777777" w:rsidR="008736B9" w:rsidRPr="00D4380E" w:rsidRDefault="008736B9" w:rsidP="00D4380E">
      <w:pPr>
        <w:pStyle w:val="NoSpacing"/>
        <w:jc w:val="center"/>
      </w:pPr>
    </w:p>
    <w:tbl>
      <w:tblPr>
        <w:tblStyle w:val="TableGrid"/>
        <w:tblW w:w="0" w:type="auto"/>
        <w:tblLook w:val="04A0" w:firstRow="1" w:lastRow="0" w:firstColumn="1" w:lastColumn="0" w:noHBand="0" w:noVBand="1"/>
      </w:tblPr>
      <w:tblGrid>
        <w:gridCol w:w="9016"/>
      </w:tblGrid>
      <w:tr w:rsidR="00BC49F9" w14:paraId="34BFBA62" w14:textId="77777777" w:rsidTr="00BC49F9">
        <w:tc>
          <w:tcPr>
            <w:tcW w:w="9242" w:type="dxa"/>
          </w:tcPr>
          <w:p w14:paraId="4EE299D9" w14:textId="77777777" w:rsidR="00BC49F9" w:rsidRPr="003F3C8D" w:rsidRDefault="00BC49F9" w:rsidP="00BC49F9">
            <w:pPr>
              <w:pStyle w:val="NoSpacing"/>
              <w:rPr>
                <w:b/>
                <w:color w:val="FF0000"/>
              </w:rPr>
            </w:pPr>
            <w:r w:rsidRPr="00BC49F9">
              <w:rPr>
                <w:b/>
              </w:rPr>
              <w:t>Event Headquarters</w:t>
            </w:r>
            <w:r w:rsidR="003F3C8D">
              <w:rPr>
                <w:b/>
              </w:rPr>
              <w:t xml:space="preserve">: </w:t>
            </w:r>
          </w:p>
          <w:p w14:paraId="1832C222" w14:textId="77777777" w:rsidR="00BC49F9" w:rsidRPr="005E70B4" w:rsidRDefault="003F3C8D" w:rsidP="00BC49F9">
            <w:pPr>
              <w:pStyle w:val="NoSpacing"/>
            </w:pPr>
            <w:r w:rsidRPr="005E70B4">
              <w:rPr>
                <w:b/>
              </w:rPr>
              <w:t>St John’s C of E Primary School</w:t>
            </w:r>
            <w:r w:rsidR="006E1B73">
              <w:rPr>
                <w:b/>
              </w:rPr>
              <w:t xml:space="preserve">, </w:t>
            </w:r>
            <w:proofErr w:type="spellStart"/>
            <w:r w:rsidR="006E1B73">
              <w:rPr>
                <w:b/>
              </w:rPr>
              <w:t>Goodwyns</w:t>
            </w:r>
            <w:proofErr w:type="spellEnd"/>
            <w:r w:rsidR="006E1B73">
              <w:rPr>
                <w:b/>
              </w:rPr>
              <w:t xml:space="preserve"> Road, North Holmwood, </w:t>
            </w:r>
            <w:r w:rsidRPr="005E70B4">
              <w:rPr>
                <w:b/>
              </w:rPr>
              <w:t>RH4</w:t>
            </w:r>
            <w:r w:rsidR="006E1B73">
              <w:rPr>
                <w:b/>
              </w:rPr>
              <w:t xml:space="preserve"> </w:t>
            </w:r>
            <w:r w:rsidRPr="005E70B4">
              <w:rPr>
                <w:b/>
              </w:rPr>
              <w:t>2LR</w:t>
            </w:r>
          </w:p>
          <w:p w14:paraId="6E4E576F" w14:textId="77777777" w:rsidR="00BC49F9" w:rsidRDefault="00BC49F9" w:rsidP="00D4380E">
            <w:pPr>
              <w:pStyle w:val="NoSpacing"/>
              <w:numPr>
                <w:ilvl w:val="0"/>
                <w:numId w:val="4"/>
              </w:numPr>
            </w:pPr>
            <w:r>
              <w:t>Travelling South on the A24 along Deepdene Avenue, on arriving at North Holm</w:t>
            </w:r>
            <w:r w:rsidR="003F3C8D">
              <w:t xml:space="preserve">wood roundabout, take the THIRD junction onto the A2003 and turn almost immediately first right into </w:t>
            </w:r>
            <w:proofErr w:type="spellStart"/>
            <w:r w:rsidR="003F3C8D">
              <w:t>Goodwyns</w:t>
            </w:r>
            <w:proofErr w:type="spellEnd"/>
            <w:r w:rsidR="003F3C8D">
              <w:t xml:space="preserve"> Road. The school is immediately on the right.</w:t>
            </w:r>
          </w:p>
          <w:p w14:paraId="4E7D294C" w14:textId="77777777" w:rsidR="00BC49F9" w:rsidRDefault="00BC49F9" w:rsidP="00D4380E">
            <w:pPr>
              <w:pStyle w:val="NoSpacing"/>
              <w:numPr>
                <w:ilvl w:val="0"/>
                <w:numId w:val="4"/>
              </w:numPr>
            </w:pPr>
            <w:r>
              <w:t>Travelling North on the A24 along Horsham Road, on arriving at North Holmwood roundabout, take the</w:t>
            </w:r>
            <w:r w:rsidR="005E70B4">
              <w:t xml:space="preserve"> FIRST</w:t>
            </w:r>
            <w:r w:rsidR="003F3C8D">
              <w:t xml:space="preserve"> exit onto the A2003</w:t>
            </w:r>
            <w:r>
              <w:t xml:space="preserve">, following the directions as above.   </w:t>
            </w:r>
          </w:p>
          <w:p w14:paraId="32A618B5" w14:textId="3626BB24" w:rsidR="005E0719" w:rsidRDefault="005E0719" w:rsidP="00BC49F9">
            <w:pPr>
              <w:pStyle w:val="NoSpacing"/>
            </w:pPr>
            <w:r>
              <w:t>The</w:t>
            </w:r>
            <w:r w:rsidR="00E5181A">
              <w:t xml:space="preserve"> event HQ will be open from </w:t>
            </w:r>
            <w:r w:rsidR="00E5181A" w:rsidRPr="001A713F">
              <w:rPr>
                <w:b/>
              </w:rPr>
              <w:t>13</w:t>
            </w:r>
            <w:r w:rsidR="006C6120">
              <w:rPr>
                <w:b/>
              </w:rPr>
              <w:t>0</w:t>
            </w:r>
            <w:r w:rsidR="003F3C8D" w:rsidRPr="001A713F">
              <w:rPr>
                <w:b/>
              </w:rPr>
              <w:t>0</w:t>
            </w:r>
            <w:r>
              <w:t xml:space="preserve"> and signing on will be done and numbers will be collected from there. </w:t>
            </w:r>
          </w:p>
          <w:p w14:paraId="290EB843" w14:textId="3EFC995A" w:rsidR="00BE0680" w:rsidRPr="00BC49F9" w:rsidRDefault="00BE0680" w:rsidP="00BC49F9">
            <w:pPr>
              <w:pStyle w:val="NoSpacing"/>
            </w:pPr>
            <w:r>
              <w:t xml:space="preserve">PLEASE NOTE THAT CTT REGULATIONS REQUIRE RIDERS TO SIGN </w:t>
            </w:r>
            <w:r w:rsidRPr="00CE2C57">
              <w:rPr>
                <w:b/>
                <w:color w:val="FF0000"/>
                <w:u w:val="single"/>
              </w:rPr>
              <w:t>IN</w:t>
            </w:r>
            <w:r>
              <w:t xml:space="preserve"> AND </w:t>
            </w:r>
            <w:r w:rsidRPr="00CE2C57">
              <w:rPr>
                <w:b/>
                <w:color w:val="FF0000"/>
                <w:u w:val="single"/>
              </w:rPr>
              <w:t>OUT</w:t>
            </w:r>
            <w:r>
              <w:t xml:space="preserve"> OF THE EVENT</w:t>
            </w:r>
          </w:p>
        </w:tc>
      </w:tr>
    </w:tbl>
    <w:p w14:paraId="4839CA63" w14:textId="77777777" w:rsidR="00D9108B" w:rsidRDefault="00D9108B" w:rsidP="00BC49F9">
      <w:pPr>
        <w:pStyle w:val="NoSpacing"/>
        <w:rPr>
          <w:b/>
        </w:rPr>
      </w:pPr>
    </w:p>
    <w:p w14:paraId="4405559D" w14:textId="0ADFD6A2" w:rsidR="005E0719" w:rsidRDefault="005E0719" w:rsidP="00BC49F9">
      <w:pPr>
        <w:pStyle w:val="NoSpacing"/>
        <w:rPr>
          <w:u w:val="single"/>
        </w:rPr>
      </w:pPr>
      <w:r w:rsidRPr="005E0719">
        <w:rPr>
          <w:b/>
        </w:rPr>
        <w:t>Prize list:</w:t>
      </w:r>
      <w:r>
        <w:rPr>
          <w:b/>
        </w:rPr>
        <w:t xml:space="preserve"> </w:t>
      </w:r>
      <w:r w:rsidRPr="008736B9">
        <w:rPr>
          <w:color w:val="FF0000"/>
        </w:rPr>
        <w:t>One rider, one prize applies. Prece</w:t>
      </w:r>
      <w:r w:rsidR="008736B9" w:rsidRPr="008736B9">
        <w:rPr>
          <w:color w:val="FF0000"/>
        </w:rPr>
        <w:t>dence is set by the prize value</w:t>
      </w:r>
    </w:p>
    <w:p w14:paraId="1BB253A2" w14:textId="77777777" w:rsidR="005E0719" w:rsidRDefault="005E0719" w:rsidP="00BC49F9">
      <w:pPr>
        <w:pStyle w:val="NoSpacing"/>
        <w:rPr>
          <w:u w:val="single"/>
        </w:rPr>
      </w:pPr>
    </w:p>
    <w:tbl>
      <w:tblPr>
        <w:tblStyle w:val="TableGrid"/>
        <w:tblW w:w="0" w:type="auto"/>
        <w:tblLook w:val="04A0" w:firstRow="1" w:lastRow="0" w:firstColumn="1" w:lastColumn="0" w:noHBand="0" w:noVBand="1"/>
      </w:tblPr>
      <w:tblGrid>
        <w:gridCol w:w="3114"/>
        <w:gridCol w:w="1559"/>
        <w:gridCol w:w="3119"/>
        <w:gridCol w:w="1224"/>
      </w:tblGrid>
      <w:tr w:rsidR="00EA198B" w14:paraId="16AF6235" w14:textId="77777777" w:rsidTr="00EA198B">
        <w:tc>
          <w:tcPr>
            <w:tcW w:w="3114" w:type="dxa"/>
            <w:shd w:val="clear" w:color="auto" w:fill="auto"/>
          </w:tcPr>
          <w:p w14:paraId="233F4166" w14:textId="77777777" w:rsidR="00EA198B" w:rsidRPr="00D56B0D" w:rsidRDefault="00EA198B" w:rsidP="00EA198B">
            <w:pPr>
              <w:pStyle w:val="NoSpacing"/>
            </w:pPr>
            <w:r>
              <w:t xml:space="preserve">First </w:t>
            </w:r>
            <w:r w:rsidRPr="00D56B0D">
              <w:t>man</w:t>
            </w:r>
          </w:p>
        </w:tc>
        <w:tc>
          <w:tcPr>
            <w:tcW w:w="1559" w:type="dxa"/>
            <w:shd w:val="clear" w:color="auto" w:fill="auto"/>
          </w:tcPr>
          <w:p w14:paraId="4CBCADD6" w14:textId="73EB5F5C" w:rsidR="00EA198B" w:rsidRPr="00D56B0D" w:rsidRDefault="00EA198B" w:rsidP="00EA198B">
            <w:pPr>
              <w:pStyle w:val="NoSpacing"/>
            </w:pPr>
            <w:r w:rsidRPr="00D56B0D">
              <w:t>£</w:t>
            </w:r>
            <w:r w:rsidR="0094523D">
              <w:t>40</w:t>
            </w:r>
          </w:p>
        </w:tc>
        <w:tc>
          <w:tcPr>
            <w:tcW w:w="3119" w:type="dxa"/>
            <w:shd w:val="clear" w:color="auto" w:fill="auto"/>
          </w:tcPr>
          <w:p w14:paraId="7D65C507" w14:textId="77777777" w:rsidR="00EA198B" w:rsidRPr="00D56B0D" w:rsidRDefault="00EA198B" w:rsidP="00EA198B">
            <w:pPr>
              <w:pStyle w:val="NoSpacing"/>
            </w:pPr>
            <w:r w:rsidRPr="00D56B0D">
              <w:t xml:space="preserve">First </w:t>
            </w:r>
            <w:r>
              <w:t>woman</w:t>
            </w:r>
          </w:p>
        </w:tc>
        <w:tc>
          <w:tcPr>
            <w:tcW w:w="1224" w:type="dxa"/>
            <w:shd w:val="clear" w:color="auto" w:fill="auto"/>
          </w:tcPr>
          <w:p w14:paraId="44449906" w14:textId="1950B1BE" w:rsidR="00EA198B" w:rsidRPr="00D56B0D" w:rsidRDefault="00EA198B" w:rsidP="00EA198B">
            <w:pPr>
              <w:pStyle w:val="NoSpacing"/>
            </w:pPr>
            <w:r w:rsidRPr="00D56B0D">
              <w:t>£</w:t>
            </w:r>
            <w:r w:rsidR="0094523D">
              <w:t>40</w:t>
            </w:r>
          </w:p>
        </w:tc>
      </w:tr>
      <w:tr w:rsidR="00EA198B" w14:paraId="74D1562A" w14:textId="77777777" w:rsidTr="00EA198B">
        <w:tc>
          <w:tcPr>
            <w:tcW w:w="3114" w:type="dxa"/>
          </w:tcPr>
          <w:p w14:paraId="61575BBA" w14:textId="77777777" w:rsidR="00EA198B" w:rsidRPr="00D56B0D" w:rsidRDefault="00EA198B" w:rsidP="00EA198B">
            <w:pPr>
              <w:pStyle w:val="NoSpacing"/>
            </w:pPr>
            <w:r>
              <w:t xml:space="preserve">Second </w:t>
            </w:r>
            <w:r w:rsidRPr="00D56B0D">
              <w:t>man</w:t>
            </w:r>
          </w:p>
        </w:tc>
        <w:tc>
          <w:tcPr>
            <w:tcW w:w="1559" w:type="dxa"/>
          </w:tcPr>
          <w:p w14:paraId="6F66CB8E" w14:textId="00D3860F" w:rsidR="00EA198B" w:rsidRPr="00D56B0D" w:rsidRDefault="00EA198B" w:rsidP="00EA198B">
            <w:pPr>
              <w:pStyle w:val="NoSpacing"/>
            </w:pPr>
            <w:r w:rsidRPr="00D56B0D">
              <w:t>£</w:t>
            </w:r>
            <w:r w:rsidR="002843C0">
              <w:t>30</w:t>
            </w:r>
          </w:p>
        </w:tc>
        <w:tc>
          <w:tcPr>
            <w:tcW w:w="3119" w:type="dxa"/>
          </w:tcPr>
          <w:p w14:paraId="559BF062" w14:textId="77777777" w:rsidR="00EA198B" w:rsidRPr="00D56B0D" w:rsidRDefault="00EA198B" w:rsidP="00EA198B">
            <w:pPr>
              <w:pStyle w:val="NoSpacing"/>
            </w:pPr>
            <w:r>
              <w:t>Second woman</w:t>
            </w:r>
          </w:p>
        </w:tc>
        <w:tc>
          <w:tcPr>
            <w:tcW w:w="1224" w:type="dxa"/>
          </w:tcPr>
          <w:p w14:paraId="5A61CBB9" w14:textId="77777777" w:rsidR="00EA198B" w:rsidRPr="00D56B0D" w:rsidRDefault="00EA198B" w:rsidP="00EA198B">
            <w:pPr>
              <w:pStyle w:val="NoSpacing"/>
            </w:pPr>
            <w:r w:rsidRPr="00D56B0D">
              <w:t>£30</w:t>
            </w:r>
          </w:p>
        </w:tc>
      </w:tr>
      <w:tr w:rsidR="00EA198B" w14:paraId="1CD26A2C" w14:textId="77777777" w:rsidTr="00EA198B">
        <w:tc>
          <w:tcPr>
            <w:tcW w:w="3114" w:type="dxa"/>
          </w:tcPr>
          <w:p w14:paraId="1DE380EC" w14:textId="77777777" w:rsidR="00EA198B" w:rsidRPr="00D56B0D" w:rsidRDefault="00EA198B" w:rsidP="00EA198B">
            <w:pPr>
              <w:pStyle w:val="NoSpacing"/>
            </w:pPr>
            <w:r>
              <w:t>Third man</w:t>
            </w:r>
          </w:p>
        </w:tc>
        <w:tc>
          <w:tcPr>
            <w:tcW w:w="1559" w:type="dxa"/>
          </w:tcPr>
          <w:p w14:paraId="3BD5945C" w14:textId="33F88497" w:rsidR="00EA198B" w:rsidRPr="00D56B0D" w:rsidRDefault="00EA198B" w:rsidP="00EA198B">
            <w:pPr>
              <w:pStyle w:val="NoSpacing"/>
            </w:pPr>
            <w:r>
              <w:t>£</w:t>
            </w:r>
            <w:r w:rsidR="002843C0">
              <w:t>20</w:t>
            </w:r>
          </w:p>
        </w:tc>
        <w:tc>
          <w:tcPr>
            <w:tcW w:w="3119" w:type="dxa"/>
          </w:tcPr>
          <w:p w14:paraId="0BA950DC" w14:textId="77777777" w:rsidR="00EA198B" w:rsidRPr="00D56B0D" w:rsidRDefault="00EA198B" w:rsidP="00EA198B">
            <w:pPr>
              <w:pStyle w:val="NoSpacing"/>
            </w:pPr>
            <w:r>
              <w:t>Third woman</w:t>
            </w:r>
          </w:p>
        </w:tc>
        <w:tc>
          <w:tcPr>
            <w:tcW w:w="1224" w:type="dxa"/>
          </w:tcPr>
          <w:p w14:paraId="798FCDAD" w14:textId="77777777" w:rsidR="00EA198B" w:rsidRPr="00D56B0D" w:rsidRDefault="00EA198B" w:rsidP="00EA198B">
            <w:pPr>
              <w:pStyle w:val="NoSpacing"/>
            </w:pPr>
            <w:r w:rsidRPr="00D56B0D">
              <w:t>£20</w:t>
            </w:r>
          </w:p>
        </w:tc>
      </w:tr>
      <w:tr w:rsidR="008B17A2" w14:paraId="62E544AA" w14:textId="77777777" w:rsidTr="00EA198B">
        <w:tc>
          <w:tcPr>
            <w:tcW w:w="3114" w:type="dxa"/>
          </w:tcPr>
          <w:p w14:paraId="30AE35A5" w14:textId="4DE48E4A" w:rsidR="008B17A2" w:rsidRPr="00D56B0D" w:rsidRDefault="006C6120" w:rsidP="008B17A2">
            <w:pPr>
              <w:pStyle w:val="NoSpacing"/>
            </w:pPr>
            <w:r>
              <w:t>First man vet (40-49)</w:t>
            </w:r>
          </w:p>
        </w:tc>
        <w:tc>
          <w:tcPr>
            <w:tcW w:w="1559" w:type="dxa"/>
          </w:tcPr>
          <w:p w14:paraId="264CC379" w14:textId="4F1152FA" w:rsidR="008B17A2" w:rsidRPr="00D56B0D" w:rsidRDefault="006C6120" w:rsidP="008B17A2">
            <w:pPr>
              <w:pStyle w:val="NoSpacing"/>
            </w:pPr>
            <w:r>
              <w:t>£20</w:t>
            </w:r>
          </w:p>
        </w:tc>
        <w:tc>
          <w:tcPr>
            <w:tcW w:w="3119" w:type="dxa"/>
          </w:tcPr>
          <w:p w14:paraId="69F3CC33" w14:textId="6C160104" w:rsidR="008B17A2" w:rsidRPr="0094523D" w:rsidRDefault="006C6120" w:rsidP="008B17A2">
            <w:pPr>
              <w:pStyle w:val="NoSpacing"/>
            </w:pPr>
            <w:r>
              <w:t xml:space="preserve">First woman vet </w:t>
            </w:r>
          </w:p>
        </w:tc>
        <w:tc>
          <w:tcPr>
            <w:tcW w:w="1224" w:type="dxa"/>
          </w:tcPr>
          <w:p w14:paraId="48EDB929" w14:textId="75FF10E5" w:rsidR="008B17A2" w:rsidRPr="0094523D" w:rsidRDefault="006C6120" w:rsidP="008B17A2">
            <w:pPr>
              <w:pStyle w:val="NoSpacing"/>
            </w:pPr>
            <w:r>
              <w:t>£20</w:t>
            </w:r>
          </w:p>
        </w:tc>
      </w:tr>
      <w:tr w:rsidR="00985816" w14:paraId="542609A2" w14:textId="77777777" w:rsidTr="00EA198B">
        <w:tc>
          <w:tcPr>
            <w:tcW w:w="3114" w:type="dxa"/>
          </w:tcPr>
          <w:p w14:paraId="4F3FEB6E" w14:textId="5A21E9A5" w:rsidR="00985816" w:rsidRPr="00D56B0D" w:rsidRDefault="00985816" w:rsidP="00985816">
            <w:pPr>
              <w:pStyle w:val="NoSpacing"/>
            </w:pPr>
            <w:r>
              <w:t>First man vet (50-59)</w:t>
            </w:r>
          </w:p>
        </w:tc>
        <w:tc>
          <w:tcPr>
            <w:tcW w:w="1559" w:type="dxa"/>
          </w:tcPr>
          <w:p w14:paraId="6237C5CF" w14:textId="0A13D582" w:rsidR="00985816" w:rsidRPr="00D56B0D" w:rsidRDefault="00985816" w:rsidP="00985816">
            <w:pPr>
              <w:pStyle w:val="NoSpacing"/>
            </w:pPr>
            <w:r>
              <w:t>£20</w:t>
            </w:r>
          </w:p>
        </w:tc>
        <w:tc>
          <w:tcPr>
            <w:tcW w:w="3119" w:type="dxa"/>
          </w:tcPr>
          <w:p w14:paraId="10AC70CA" w14:textId="75D47D40" w:rsidR="00985816" w:rsidRPr="0094523D" w:rsidRDefault="00985816" w:rsidP="00985816">
            <w:pPr>
              <w:pStyle w:val="NoSpacing"/>
            </w:pPr>
          </w:p>
        </w:tc>
        <w:tc>
          <w:tcPr>
            <w:tcW w:w="1224" w:type="dxa"/>
          </w:tcPr>
          <w:p w14:paraId="426FC003" w14:textId="0903E77E" w:rsidR="00985816" w:rsidRPr="0094523D" w:rsidRDefault="00985816" w:rsidP="00985816">
            <w:pPr>
              <w:pStyle w:val="NoSpacing"/>
            </w:pPr>
          </w:p>
        </w:tc>
      </w:tr>
      <w:tr w:rsidR="00DD09B6" w14:paraId="702FCBF3" w14:textId="77777777" w:rsidTr="00EA198B">
        <w:tc>
          <w:tcPr>
            <w:tcW w:w="3114" w:type="dxa"/>
          </w:tcPr>
          <w:p w14:paraId="63A22737" w14:textId="418C760E" w:rsidR="00DD09B6" w:rsidRDefault="00DD09B6" w:rsidP="00985816">
            <w:pPr>
              <w:pStyle w:val="NoSpacing"/>
            </w:pPr>
            <w:r>
              <w:t>First man vet (60-69)</w:t>
            </w:r>
          </w:p>
        </w:tc>
        <w:tc>
          <w:tcPr>
            <w:tcW w:w="1559" w:type="dxa"/>
          </w:tcPr>
          <w:p w14:paraId="5EC74990" w14:textId="534007C9" w:rsidR="00DD09B6" w:rsidRDefault="00DD09B6" w:rsidP="00985816">
            <w:pPr>
              <w:pStyle w:val="NoSpacing"/>
            </w:pPr>
            <w:r>
              <w:t>£20</w:t>
            </w:r>
          </w:p>
        </w:tc>
        <w:tc>
          <w:tcPr>
            <w:tcW w:w="3119" w:type="dxa"/>
          </w:tcPr>
          <w:p w14:paraId="1E5DF853" w14:textId="77777777" w:rsidR="00DD09B6" w:rsidRDefault="00DD09B6" w:rsidP="00985816">
            <w:pPr>
              <w:pStyle w:val="NoSpacing"/>
            </w:pPr>
          </w:p>
        </w:tc>
        <w:tc>
          <w:tcPr>
            <w:tcW w:w="1224" w:type="dxa"/>
          </w:tcPr>
          <w:p w14:paraId="160C47EB" w14:textId="77777777" w:rsidR="00DD09B6" w:rsidRDefault="00DD09B6" w:rsidP="00985816">
            <w:pPr>
              <w:pStyle w:val="NoSpacing"/>
            </w:pPr>
          </w:p>
        </w:tc>
      </w:tr>
      <w:tr w:rsidR="00DD09B6" w14:paraId="274CA8C6" w14:textId="77777777" w:rsidTr="00EA198B">
        <w:tc>
          <w:tcPr>
            <w:tcW w:w="3114" w:type="dxa"/>
          </w:tcPr>
          <w:p w14:paraId="7911387B" w14:textId="11AD262B" w:rsidR="00DD09B6" w:rsidRDefault="00DD09B6" w:rsidP="00DD09B6">
            <w:pPr>
              <w:pStyle w:val="NoSpacing"/>
            </w:pPr>
            <w:r>
              <w:t>First man vet (70+)</w:t>
            </w:r>
          </w:p>
        </w:tc>
        <w:tc>
          <w:tcPr>
            <w:tcW w:w="1559" w:type="dxa"/>
          </w:tcPr>
          <w:p w14:paraId="24B0B282" w14:textId="3A9DF126" w:rsidR="00DD09B6" w:rsidRDefault="00DD09B6" w:rsidP="00DD09B6">
            <w:pPr>
              <w:pStyle w:val="NoSpacing"/>
            </w:pPr>
            <w:r>
              <w:t>£20</w:t>
            </w:r>
          </w:p>
        </w:tc>
        <w:tc>
          <w:tcPr>
            <w:tcW w:w="3119" w:type="dxa"/>
          </w:tcPr>
          <w:p w14:paraId="29BCE764" w14:textId="77777777" w:rsidR="00DD09B6" w:rsidRDefault="00DD09B6" w:rsidP="00DD09B6">
            <w:pPr>
              <w:pStyle w:val="NoSpacing"/>
            </w:pPr>
          </w:p>
        </w:tc>
        <w:tc>
          <w:tcPr>
            <w:tcW w:w="1224" w:type="dxa"/>
          </w:tcPr>
          <w:p w14:paraId="4F05A9B7" w14:textId="77777777" w:rsidR="00DD09B6" w:rsidRDefault="00DD09B6" w:rsidP="00DD09B6">
            <w:pPr>
              <w:pStyle w:val="NoSpacing"/>
            </w:pPr>
          </w:p>
        </w:tc>
      </w:tr>
    </w:tbl>
    <w:p w14:paraId="391A124C" w14:textId="750540EF" w:rsidR="006C6120" w:rsidRDefault="006C6120" w:rsidP="004C0762">
      <w:pPr>
        <w:rPr>
          <w:rFonts w:cstheme="minorHAnsi"/>
          <w:b/>
          <w:sz w:val="32"/>
          <w:szCs w:val="32"/>
        </w:rPr>
      </w:pPr>
    </w:p>
    <w:p w14:paraId="57E56984" w14:textId="04814369" w:rsidR="005C1707" w:rsidRDefault="005C1707">
      <w:pPr>
        <w:rPr>
          <w:rFonts w:cstheme="minorHAnsi"/>
          <w:b/>
          <w:sz w:val="32"/>
          <w:szCs w:val="32"/>
        </w:rPr>
      </w:pPr>
    </w:p>
    <w:sectPr w:rsidR="005C1707" w:rsidSect="00BE0680">
      <w:headerReference w:type="default" r:id="rId13"/>
      <w:footerReference w:type="default" r:id="rId14"/>
      <w:pgSz w:w="11906" w:h="16838"/>
      <w:pgMar w:top="568"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E9C1" w14:textId="77777777" w:rsidR="001A187F" w:rsidRDefault="001A187F" w:rsidP="002C6574">
      <w:pPr>
        <w:spacing w:after="0" w:line="240" w:lineRule="auto"/>
      </w:pPr>
      <w:r>
        <w:separator/>
      </w:r>
    </w:p>
  </w:endnote>
  <w:endnote w:type="continuationSeparator" w:id="0">
    <w:p w14:paraId="42F12CBC" w14:textId="77777777" w:rsidR="001A187F" w:rsidRDefault="001A187F" w:rsidP="002C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57341"/>
      <w:docPartObj>
        <w:docPartGallery w:val="Page Numbers (Bottom of Page)"/>
        <w:docPartUnique/>
      </w:docPartObj>
    </w:sdtPr>
    <w:sdtEndPr>
      <w:rPr>
        <w:noProof/>
      </w:rPr>
    </w:sdtEndPr>
    <w:sdtContent>
      <w:p w14:paraId="37E54DFF" w14:textId="77777777" w:rsidR="001A6488" w:rsidRDefault="001A648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2EDF77D" w14:textId="77777777" w:rsidR="001A6488" w:rsidRDefault="001A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A040" w14:textId="77777777" w:rsidR="001A187F" w:rsidRDefault="001A187F" w:rsidP="002C6574">
      <w:pPr>
        <w:spacing w:after="0" w:line="240" w:lineRule="auto"/>
      </w:pPr>
      <w:r>
        <w:separator/>
      </w:r>
    </w:p>
  </w:footnote>
  <w:footnote w:type="continuationSeparator" w:id="0">
    <w:p w14:paraId="2B65864B" w14:textId="77777777" w:rsidR="001A187F" w:rsidRDefault="001A187F" w:rsidP="002C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C298" w14:textId="6B28BB30" w:rsidR="00B172D1" w:rsidRDefault="00B172D1" w:rsidP="00B172D1">
    <w:pPr>
      <w:pStyle w:val="NoSpacing"/>
      <w:jc w:val="center"/>
      <w:rPr>
        <w:b/>
      </w:rPr>
    </w:pPr>
    <w:bookmarkStart w:id="3" w:name="_Hlk479790588"/>
    <w:bookmarkEnd w:id="3"/>
    <w:r>
      <w:rPr>
        <w:b/>
      </w:rPr>
      <w:t>Instructions and Start Sheet</w:t>
    </w:r>
  </w:p>
  <w:p w14:paraId="14A20345" w14:textId="77777777" w:rsidR="00885C45" w:rsidRPr="00B172D1" w:rsidRDefault="00885C45" w:rsidP="00B172D1">
    <w:pPr>
      <w:pStyle w:val="NoSpacing"/>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0996"/>
    <w:multiLevelType w:val="hybridMultilevel"/>
    <w:tmpl w:val="CB22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06B1"/>
    <w:multiLevelType w:val="hybridMultilevel"/>
    <w:tmpl w:val="B3008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DA0026"/>
    <w:multiLevelType w:val="hybridMultilevel"/>
    <w:tmpl w:val="E056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D7E99"/>
    <w:multiLevelType w:val="hybridMultilevel"/>
    <w:tmpl w:val="0882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948737">
    <w:abstractNumId w:val="0"/>
  </w:num>
  <w:num w:numId="2" w16cid:durableId="189152202">
    <w:abstractNumId w:val="1"/>
  </w:num>
  <w:num w:numId="3" w16cid:durableId="721709307">
    <w:abstractNumId w:val="2"/>
  </w:num>
  <w:num w:numId="4" w16cid:durableId="803622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E0"/>
    <w:rsid w:val="00010C92"/>
    <w:rsid w:val="00027235"/>
    <w:rsid w:val="00035EC7"/>
    <w:rsid w:val="00056692"/>
    <w:rsid w:val="000800F9"/>
    <w:rsid w:val="00080102"/>
    <w:rsid w:val="000A7F87"/>
    <w:rsid w:val="000E3AAC"/>
    <w:rsid w:val="000F472E"/>
    <w:rsid w:val="0018248F"/>
    <w:rsid w:val="0019517C"/>
    <w:rsid w:val="001A187F"/>
    <w:rsid w:val="001A6488"/>
    <w:rsid w:val="001A713F"/>
    <w:rsid w:val="00213268"/>
    <w:rsid w:val="002135CD"/>
    <w:rsid w:val="00240320"/>
    <w:rsid w:val="00243A40"/>
    <w:rsid w:val="002843C0"/>
    <w:rsid w:val="002C4C06"/>
    <w:rsid w:val="002C6574"/>
    <w:rsid w:val="00313AC1"/>
    <w:rsid w:val="003158E6"/>
    <w:rsid w:val="00334183"/>
    <w:rsid w:val="003935FA"/>
    <w:rsid w:val="003F3C8D"/>
    <w:rsid w:val="004279D7"/>
    <w:rsid w:val="00470DC4"/>
    <w:rsid w:val="0049793D"/>
    <w:rsid w:val="004C0762"/>
    <w:rsid w:val="004F63E7"/>
    <w:rsid w:val="00532E9E"/>
    <w:rsid w:val="00542CAF"/>
    <w:rsid w:val="005711FB"/>
    <w:rsid w:val="005C1707"/>
    <w:rsid w:val="005E0719"/>
    <w:rsid w:val="005E70B4"/>
    <w:rsid w:val="00603788"/>
    <w:rsid w:val="006510F9"/>
    <w:rsid w:val="00665D6D"/>
    <w:rsid w:val="006C6120"/>
    <w:rsid w:val="006E08DB"/>
    <w:rsid w:val="006E1B73"/>
    <w:rsid w:val="00725AE4"/>
    <w:rsid w:val="00836991"/>
    <w:rsid w:val="008736B9"/>
    <w:rsid w:val="00877101"/>
    <w:rsid w:val="00877BC0"/>
    <w:rsid w:val="00885C45"/>
    <w:rsid w:val="008B17A2"/>
    <w:rsid w:val="008B4617"/>
    <w:rsid w:val="008C6C08"/>
    <w:rsid w:val="008D7832"/>
    <w:rsid w:val="008F7891"/>
    <w:rsid w:val="0092287D"/>
    <w:rsid w:val="0094523D"/>
    <w:rsid w:val="00953DF4"/>
    <w:rsid w:val="00985816"/>
    <w:rsid w:val="009872DD"/>
    <w:rsid w:val="009A6D98"/>
    <w:rsid w:val="009C7E8D"/>
    <w:rsid w:val="009F160B"/>
    <w:rsid w:val="00A03C05"/>
    <w:rsid w:val="00A26355"/>
    <w:rsid w:val="00A414A4"/>
    <w:rsid w:val="00AC132C"/>
    <w:rsid w:val="00AD3FE0"/>
    <w:rsid w:val="00AD6219"/>
    <w:rsid w:val="00B172D1"/>
    <w:rsid w:val="00B22A1A"/>
    <w:rsid w:val="00B25393"/>
    <w:rsid w:val="00B31E87"/>
    <w:rsid w:val="00B44732"/>
    <w:rsid w:val="00B667C4"/>
    <w:rsid w:val="00B672A4"/>
    <w:rsid w:val="00B72C89"/>
    <w:rsid w:val="00B77C83"/>
    <w:rsid w:val="00BC49F9"/>
    <w:rsid w:val="00BE0680"/>
    <w:rsid w:val="00BF10C4"/>
    <w:rsid w:val="00C64639"/>
    <w:rsid w:val="00CC0CD3"/>
    <w:rsid w:val="00CE7ED8"/>
    <w:rsid w:val="00D30CCE"/>
    <w:rsid w:val="00D4380E"/>
    <w:rsid w:val="00D56B0D"/>
    <w:rsid w:val="00D57723"/>
    <w:rsid w:val="00D73FF0"/>
    <w:rsid w:val="00D9108B"/>
    <w:rsid w:val="00DA7E5A"/>
    <w:rsid w:val="00DB2FB0"/>
    <w:rsid w:val="00DC41F8"/>
    <w:rsid w:val="00DC5BCE"/>
    <w:rsid w:val="00DD09B6"/>
    <w:rsid w:val="00DD61BF"/>
    <w:rsid w:val="00E02FF9"/>
    <w:rsid w:val="00E12770"/>
    <w:rsid w:val="00E151BA"/>
    <w:rsid w:val="00E16477"/>
    <w:rsid w:val="00E50A3E"/>
    <w:rsid w:val="00E5181A"/>
    <w:rsid w:val="00E84EB8"/>
    <w:rsid w:val="00E85A07"/>
    <w:rsid w:val="00E86624"/>
    <w:rsid w:val="00EA198B"/>
    <w:rsid w:val="00EB60E1"/>
    <w:rsid w:val="00F1098F"/>
    <w:rsid w:val="00F30C36"/>
    <w:rsid w:val="00F379F0"/>
    <w:rsid w:val="00F51594"/>
    <w:rsid w:val="00F60E06"/>
    <w:rsid w:val="00F9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D0C86"/>
  <w15:docId w15:val="{8067E130-A285-4FD0-ADA1-B95331CD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9F9"/>
    <w:pPr>
      <w:ind w:left="720"/>
      <w:contextualSpacing/>
    </w:pPr>
  </w:style>
  <w:style w:type="paragraph" w:styleId="NoSpacing">
    <w:name w:val="No Spacing"/>
    <w:uiPriority w:val="1"/>
    <w:qFormat/>
    <w:rsid w:val="00BC49F9"/>
    <w:pPr>
      <w:spacing w:after="0" w:line="240" w:lineRule="auto"/>
    </w:pPr>
  </w:style>
  <w:style w:type="character" w:styleId="Hyperlink">
    <w:name w:val="Hyperlink"/>
    <w:basedOn w:val="DefaultParagraphFont"/>
    <w:uiPriority w:val="99"/>
    <w:unhideWhenUsed/>
    <w:rsid w:val="005E0719"/>
    <w:rPr>
      <w:color w:val="0000FF" w:themeColor="hyperlink"/>
      <w:u w:val="single"/>
    </w:rPr>
  </w:style>
  <w:style w:type="paragraph" w:styleId="Header">
    <w:name w:val="header"/>
    <w:basedOn w:val="Normal"/>
    <w:link w:val="HeaderChar"/>
    <w:uiPriority w:val="99"/>
    <w:unhideWhenUsed/>
    <w:rsid w:val="002C6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74"/>
  </w:style>
  <w:style w:type="paragraph" w:styleId="Footer">
    <w:name w:val="footer"/>
    <w:basedOn w:val="Normal"/>
    <w:link w:val="FooterChar"/>
    <w:uiPriority w:val="99"/>
    <w:unhideWhenUsed/>
    <w:rsid w:val="002C6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74"/>
  </w:style>
  <w:style w:type="paragraph" w:styleId="BalloonText">
    <w:name w:val="Balloon Text"/>
    <w:basedOn w:val="Normal"/>
    <w:link w:val="BalloonTextChar"/>
    <w:uiPriority w:val="99"/>
    <w:semiHidden/>
    <w:unhideWhenUsed/>
    <w:rsid w:val="0087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B9"/>
    <w:rPr>
      <w:rFonts w:ascii="Segoe UI" w:hAnsi="Segoe UI" w:cs="Segoe UI"/>
      <w:sz w:val="18"/>
      <w:szCs w:val="18"/>
    </w:rPr>
  </w:style>
  <w:style w:type="character" w:styleId="UnresolvedMention">
    <w:name w:val="Unresolved Mention"/>
    <w:basedOn w:val="DefaultParagraphFont"/>
    <w:uiPriority w:val="99"/>
    <w:semiHidden/>
    <w:unhideWhenUsed/>
    <w:rsid w:val="005C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5214">
      <w:bodyDiv w:val="1"/>
      <w:marLeft w:val="0"/>
      <w:marRight w:val="0"/>
      <w:marTop w:val="0"/>
      <w:marBottom w:val="0"/>
      <w:divBdr>
        <w:top w:val="none" w:sz="0" w:space="0" w:color="auto"/>
        <w:left w:val="none" w:sz="0" w:space="0" w:color="auto"/>
        <w:bottom w:val="none" w:sz="0" w:space="0" w:color="auto"/>
        <w:right w:val="none" w:sz="0" w:space="0" w:color="auto"/>
      </w:divBdr>
    </w:div>
    <w:div w:id="887687504">
      <w:bodyDiv w:val="1"/>
      <w:marLeft w:val="0"/>
      <w:marRight w:val="0"/>
      <w:marTop w:val="0"/>
      <w:marBottom w:val="0"/>
      <w:divBdr>
        <w:top w:val="none" w:sz="0" w:space="0" w:color="auto"/>
        <w:left w:val="none" w:sz="0" w:space="0" w:color="auto"/>
        <w:bottom w:val="none" w:sz="0" w:space="0" w:color="auto"/>
        <w:right w:val="none" w:sz="0" w:space="0" w:color="auto"/>
      </w:divBdr>
    </w:div>
    <w:div w:id="956716514">
      <w:bodyDiv w:val="1"/>
      <w:marLeft w:val="0"/>
      <w:marRight w:val="0"/>
      <w:marTop w:val="0"/>
      <w:marBottom w:val="0"/>
      <w:divBdr>
        <w:top w:val="none" w:sz="0" w:space="0" w:color="auto"/>
        <w:left w:val="none" w:sz="0" w:space="0" w:color="auto"/>
        <w:bottom w:val="none" w:sz="0" w:space="0" w:color="auto"/>
        <w:right w:val="none" w:sz="0" w:space="0" w:color="auto"/>
      </w:divBdr>
    </w:div>
    <w:div w:id="1064058986">
      <w:bodyDiv w:val="1"/>
      <w:marLeft w:val="0"/>
      <w:marRight w:val="0"/>
      <w:marTop w:val="0"/>
      <w:marBottom w:val="0"/>
      <w:divBdr>
        <w:top w:val="none" w:sz="0" w:space="0" w:color="auto"/>
        <w:left w:val="none" w:sz="0" w:space="0" w:color="auto"/>
        <w:bottom w:val="none" w:sz="0" w:space="0" w:color="auto"/>
        <w:right w:val="none" w:sz="0" w:space="0" w:color="auto"/>
      </w:divBdr>
    </w:div>
    <w:div w:id="1289123525">
      <w:bodyDiv w:val="1"/>
      <w:marLeft w:val="0"/>
      <w:marRight w:val="0"/>
      <w:marTop w:val="0"/>
      <w:marBottom w:val="0"/>
      <w:divBdr>
        <w:top w:val="none" w:sz="0" w:space="0" w:color="auto"/>
        <w:left w:val="none" w:sz="0" w:space="0" w:color="auto"/>
        <w:bottom w:val="none" w:sz="0" w:space="0" w:color="auto"/>
        <w:right w:val="none" w:sz="0" w:space="0" w:color="auto"/>
      </w:divBdr>
    </w:div>
    <w:div w:id="1512451240">
      <w:bodyDiv w:val="1"/>
      <w:marLeft w:val="0"/>
      <w:marRight w:val="0"/>
      <w:marTop w:val="0"/>
      <w:marBottom w:val="0"/>
      <w:divBdr>
        <w:top w:val="none" w:sz="0" w:space="0" w:color="auto"/>
        <w:left w:val="none" w:sz="0" w:space="0" w:color="auto"/>
        <w:bottom w:val="none" w:sz="0" w:space="0" w:color="auto"/>
        <w:right w:val="none" w:sz="0" w:space="0" w:color="auto"/>
      </w:divBdr>
    </w:div>
    <w:div w:id="1833446373">
      <w:bodyDiv w:val="1"/>
      <w:marLeft w:val="0"/>
      <w:marRight w:val="0"/>
      <w:marTop w:val="0"/>
      <w:marBottom w:val="0"/>
      <w:divBdr>
        <w:top w:val="none" w:sz="0" w:space="0" w:color="auto"/>
        <w:left w:val="none" w:sz="0" w:space="0" w:color="auto"/>
        <w:bottom w:val="none" w:sz="0" w:space="0" w:color="auto"/>
        <w:right w:val="none" w:sz="0" w:space="0" w:color="auto"/>
      </w:divBdr>
    </w:div>
    <w:div w:id="1993606634">
      <w:bodyDiv w:val="1"/>
      <w:marLeft w:val="0"/>
      <w:marRight w:val="0"/>
      <w:marTop w:val="0"/>
      <w:marBottom w:val="0"/>
      <w:divBdr>
        <w:top w:val="none" w:sz="0" w:space="0" w:color="auto"/>
        <w:left w:val="none" w:sz="0" w:space="0" w:color="auto"/>
        <w:bottom w:val="none" w:sz="0" w:space="0" w:color="auto"/>
        <w:right w:val="none" w:sz="0" w:space="0" w:color="auto"/>
      </w:divBdr>
    </w:div>
    <w:div w:id="20772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hughes@btinterne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7B09A.367813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DE5D-FB30-4CD8-8FF1-EDDEF903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Hugo Hughes</cp:lastModifiedBy>
  <cp:revision>6</cp:revision>
  <cp:lastPrinted>2021-09-23T15:47:00Z</cp:lastPrinted>
  <dcterms:created xsi:type="dcterms:W3CDTF">2022-09-22T18:30:00Z</dcterms:created>
  <dcterms:modified xsi:type="dcterms:W3CDTF">2022-09-24T16:34:00Z</dcterms:modified>
</cp:coreProperties>
</file>